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0" w:afterAutospacing="0" w:line="510" w:lineRule="atLeast"/>
        <w:ind w:left="0" w:right="0" w:firstLine="420"/>
        <w:jc w:val="center"/>
        <w:rPr>
          <w:rFonts w:hint="eastAsia" w:asciiTheme="majorEastAsia" w:hAnsiTheme="majorEastAsia" w:eastAsiaTheme="majorEastAsia" w:cstheme="majorEastAsia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pacing w:val="0"/>
          <w:sz w:val="36"/>
          <w:szCs w:val="36"/>
          <w:lang w:val="en-US" w:eastAsia="zh-CN"/>
        </w:rPr>
        <w:t>2021年农机购置补贴实施进度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0" w:afterAutospacing="0" w:line="51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赛罕区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争取中央财政农机购置补贴资金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310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万元，截止12月30日，补贴资金全部使用完毕,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共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补贴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各类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农机具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71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台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套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补贴资金已报财政近期拨付至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购机者惠农“一卡通”(银行卡)账户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244A8"/>
    <w:rsid w:val="7272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2022-01-05T07:49:00Z</dcterms:created>
  <dc:creator>Administrator</dc:creator>
  <cp:lastModifiedBy>Administrator</cp:lastModifiedBy>
  <dcterms:modified xsi:type="dcterms:W3CDTF">2022-01-05T07:52:14Z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B6A5344996754658B65BAB3E2BFE685E</vt:lpwstr>
  </property>
</Properties>
</file>